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55" w:rsidRDefault="00CF1A55" w:rsidP="00CF1A55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noProof/>
          <w:sz w:val="36"/>
        </w:rPr>
        <w:drawing>
          <wp:inline distT="0" distB="0" distL="0" distR="0">
            <wp:extent cx="6646545" cy="57340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55" w:rsidRDefault="00CF1A55" w:rsidP="00CF1A55">
      <w:pPr>
        <w:jc w:val="center"/>
        <w:rPr>
          <w:rFonts w:asciiTheme="minorHAnsi" w:hAnsiTheme="minorHAnsi" w:cstheme="minorHAnsi"/>
          <w:b/>
          <w:sz w:val="40"/>
        </w:rPr>
      </w:pPr>
    </w:p>
    <w:p w:rsidR="00CF1A55" w:rsidRDefault="00CF1A55" w:rsidP="00CF1A55">
      <w:pPr>
        <w:jc w:val="center"/>
        <w:rPr>
          <w:rFonts w:asciiTheme="minorHAnsi" w:hAnsiTheme="minorHAnsi" w:cstheme="minorHAnsi"/>
          <w:b/>
          <w:sz w:val="40"/>
        </w:rPr>
      </w:pPr>
    </w:p>
    <w:p w:rsidR="00CF1A55" w:rsidRPr="00CF1A55" w:rsidRDefault="00CF1A55" w:rsidP="00CF1A55">
      <w:pPr>
        <w:jc w:val="center"/>
        <w:rPr>
          <w:rFonts w:asciiTheme="minorHAnsi" w:hAnsiTheme="minorHAnsi" w:cstheme="minorHAnsi"/>
          <w:b/>
          <w:sz w:val="40"/>
        </w:rPr>
      </w:pPr>
      <w:r w:rsidRPr="00CF1A55">
        <w:rPr>
          <w:rFonts w:asciiTheme="minorHAnsi" w:hAnsiTheme="minorHAnsi" w:cstheme="minorHAnsi"/>
          <w:b/>
          <w:sz w:val="40"/>
        </w:rPr>
        <w:t>CRITERI DI SELEZIONE DEI DESTINATARI DELLE DOTI</w:t>
      </w:r>
    </w:p>
    <w:p w:rsidR="00CF1A55" w:rsidRDefault="00CF1A55" w:rsidP="00CF1A55">
      <w:pPr>
        <w:rPr>
          <w:rFonts w:asciiTheme="minorHAnsi" w:hAnsiTheme="minorHAnsi" w:cstheme="minorHAnsi"/>
          <w:sz w:val="36"/>
        </w:rPr>
      </w:pPr>
    </w:p>
    <w:p w:rsidR="00CF1A55" w:rsidRDefault="00CF1A55" w:rsidP="00CF1A55">
      <w:pPr>
        <w:rPr>
          <w:rFonts w:asciiTheme="minorHAnsi" w:hAnsiTheme="minorHAnsi" w:cstheme="minorHAnsi"/>
          <w:sz w:val="36"/>
        </w:rPr>
      </w:pPr>
    </w:p>
    <w:p w:rsidR="00CF1A55" w:rsidRDefault="00CF1A55" w:rsidP="00CF1A55">
      <w:pPr>
        <w:rPr>
          <w:rFonts w:asciiTheme="minorHAnsi" w:hAnsiTheme="minorHAnsi" w:cstheme="minorHAnsi"/>
          <w:sz w:val="36"/>
        </w:rPr>
      </w:pPr>
      <w:r w:rsidRPr="00CF1A55">
        <w:rPr>
          <w:rFonts w:asciiTheme="minorHAnsi" w:hAnsiTheme="minorHAnsi" w:cstheme="minorHAnsi"/>
          <w:sz w:val="36"/>
        </w:rPr>
        <w:t xml:space="preserve">I criteri  generali ai quali le istituzioni formative devono ispirarsi conformemente ai principi di trasparenza, pubblicità, parità di trattamento e non discriminazione sono i seguenti e sono stati individuati dalla DGR 576/2023 sotto riportati: </w:t>
      </w:r>
    </w:p>
    <w:p w:rsidR="00CF1A55" w:rsidRPr="00CF1A55" w:rsidRDefault="00CF1A55" w:rsidP="00CF1A55">
      <w:pPr>
        <w:rPr>
          <w:rFonts w:asciiTheme="minorHAnsi" w:hAnsiTheme="minorHAnsi" w:cstheme="minorHAnsi"/>
          <w:sz w:val="36"/>
        </w:rPr>
      </w:pPr>
    </w:p>
    <w:p w:rsidR="00CF1A55" w:rsidRPr="00CF1A55" w:rsidRDefault="00CF1A55" w:rsidP="00CF1A5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36"/>
        </w:rPr>
      </w:pPr>
      <w:r w:rsidRPr="00CF1A55">
        <w:rPr>
          <w:rFonts w:asciiTheme="minorHAnsi" w:hAnsiTheme="minorHAnsi" w:cstheme="minorHAnsi"/>
          <w:b/>
          <w:sz w:val="36"/>
        </w:rPr>
        <w:t xml:space="preserve">Valutazione della motivazione, del profilo personale e attitudinale rispetto al percorso scelto; </w:t>
      </w:r>
    </w:p>
    <w:p w:rsidR="00CF1A55" w:rsidRPr="00CF1A55" w:rsidRDefault="00CF1A55" w:rsidP="00CF1A5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36"/>
        </w:rPr>
      </w:pPr>
      <w:r w:rsidRPr="00CF1A55">
        <w:rPr>
          <w:rFonts w:asciiTheme="minorHAnsi" w:hAnsiTheme="minorHAnsi" w:cstheme="minorHAnsi"/>
          <w:b/>
          <w:sz w:val="36"/>
        </w:rPr>
        <w:t xml:space="preserve">Stili di apprendimento orientati all'esperienza concreta e alla sperimentazione attiva; svantaggio economico (anche con riferimento all'indicazione della situazione economica); </w:t>
      </w:r>
    </w:p>
    <w:p w:rsidR="00CF1A55" w:rsidRPr="00CF1A55" w:rsidRDefault="00CF1A55" w:rsidP="00CF1A5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36"/>
        </w:rPr>
      </w:pPr>
      <w:r w:rsidRPr="00CF1A55">
        <w:rPr>
          <w:rFonts w:asciiTheme="minorHAnsi" w:hAnsiTheme="minorHAnsi" w:cstheme="minorHAnsi"/>
          <w:b/>
          <w:sz w:val="36"/>
        </w:rPr>
        <w:t>Opportunità d'Interventi per il contrasto alla dispersione scolastica e formativa;</w:t>
      </w:r>
    </w:p>
    <w:p w:rsidR="00CF1A55" w:rsidRPr="00CF1A55" w:rsidRDefault="00CF1A55" w:rsidP="00CF1A55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  <w:sz w:val="36"/>
        </w:rPr>
      </w:pPr>
      <w:r w:rsidRPr="00CF1A55">
        <w:rPr>
          <w:rFonts w:asciiTheme="minorHAnsi" w:hAnsiTheme="minorHAnsi" w:cstheme="minorHAnsi"/>
          <w:b/>
          <w:sz w:val="36"/>
        </w:rPr>
        <w:t xml:space="preserve">Disponibilità massima di posti per studenti con disabilità certificata. </w:t>
      </w:r>
    </w:p>
    <w:p w:rsidR="00CF1A55" w:rsidRPr="00CF1A55" w:rsidRDefault="00CF1A55" w:rsidP="00CF1A55">
      <w:pPr>
        <w:rPr>
          <w:rFonts w:asciiTheme="minorHAnsi" w:hAnsiTheme="minorHAnsi" w:cstheme="minorHAnsi"/>
          <w:sz w:val="36"/>
        </w:rPr>
      </w:pPr>
    </w:p>
    <w:p w:rsidR="00CF1A55" w:rsidRPr="00CF1A55" w:rsidRDefault="00CF1A55" w:rsidP="00CF1A55">
      <w:pPr>
        <w:rPr>
          <w:rFonts w:asciiTheme="minorHAnsi" w:hAnsiTheme="minorHAnsi" w:cstheme="minorHAnsi"/>
          <w:sz w:val="36"/>
        </w:rPr>
      </w:pPr>
      <w:r w:rsidRPr="00CF1A55">
        <w:rPr>
          <w:rFonts w:asciiTheme="minorHAnsi" w:hAnsiTheme="minorHAnsi" w:cstheme="minorHAnsi"/>
          <w:sz w:val="36"/>
        </w:rPr>
        <w:t>Le Istituzioni formative sono tenute pertanto a specificare tempi, modalità, procedure e criteri di selezione garantendone ampia diffusione - anche attraverso i loro siti internet - affinché siano disponibili e facilmente accessibili e le famiglie e gli utenti ricevano adeguata informazione. Regione Lombardia eseguirà attività di ispezione e controllo al fine di verificare il corretto adempimento delle attività sopra riportate, riservandosi la possibilità di effettuare controlli in loco a campione presso le istituzioni formative che sono tenute a conservare la relativa documentazione a supporto.</w:t>
      </w:r>
      <w:bookmarkStart w:id="0" w:name="_GoBack"/>
      <w:bookmarkEnd w:id="0"/>
    </w:p>
    <w:p w:rsidR="00EA5CFE" w:rsidRPr="00CF1A55" w:rsidRDefault="00EA5CFE">
      <w:pPr>
        <w:rPr>
          <w:rFonts w:asciiTheme="minorHAnsi" w:hAnsiTheme="minorHAnsi" w:cstheme="minorHAnsi"/>
          <w:sz w:val="36"/>
        </w:rPr>
      </w:pPr>
    </w:p>
    <w:sectPr w:rsidR="00EA5CFE" w:rsidRPr="00CF1A55" w:rsidSect="00CF1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12863"/>
    <w:multiLevelType w:val="hybridMultilevel"/>
    <w:tmpl w:val="1DB2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71E4"/>
    <w:multiLevelType w:val="hybridMultilevel"/>
    <w:tmpl w:val="3CE47CE2"/>
    <w:lvl w:ilvl="0" w:tplc="5E740F6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55"/>
    <w:rsid w:val="00CF1A55"/>
    <w:rsid w:val="00E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AF4A"/>
  <w15:chartTrackingRefBased/>
  <w15:docId w15:val="{096DC424-5C7C-4A0C-9E43-F2964355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1A5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Ciotta</dc:creator>
  <cp:keywords/>
  <dc:description/>
  <cp:lastModifiedBy>Luca Ciotta</cp:lastModifiedBy>
  <cp:revision>1</cp:revision>
  <dcterms:created xsi:type="dcterms:W3CDTF">2025-01-16T13:44:00Z</dcterms:created>
  <dcterms:modified xsi:type="dcterms:W3CDTF">2025-01-16T13:49:00Z</dcterms:modified>
</cp:coreProperties>
</file>